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Ind w:w="-10" w:type="dxa"/>
        <w:tblCellMar>
          <w:left w:w="28" w:type="dxa"/>
          <w:right w:w="28" w:type="dxa"/>
        </w:tblCellMar>
        <w:tblLook w:val="04A0" w:firstRow="1" w:lastRow="0" w:firstColumn="1" w:lastColumn="0" w:noHBand="0" w:noVBand="1"/>
      </w:tblPr>
      <w:tblGrid>
        <w:gridCol w:w="2977"/>
        <w:gridCol w:w="7229"/>
        <w:gridCol w:w="5103"/>
      </w:tblGrid>
      <w:tr w:rsidR="00E76526" w:rsidRPr="00515194" w:rsidTr="00515194">
        <w:trPr>
          <w:trHeight w:val="558"/>
        </w:trPr>
        <w:tc>
          <w:tcPr>
            <w:tcW w:w="15309" w:type="dxa"/>
            <w:gridSpan w:val="3"/>
            <w:tcBorders>
              <w:top w:val="single" w:sz="4" w:space="0" w:color="auto"/>
              <w:left w:val="single" w:sz="8" w:space="0" w:color="auto"/>
              <w:bottom w:val="single" w:sz="4" w:space="0" w:color="auto"/>
              <w:right w:val="single" w:sz="8" w:space="0" w:color="000000"/>
            </w:tcBorders>
            <w:shd w:val="clear" w:color="auto" w:fill="E2EFD9" w:themeFill="accent6" w:themeFillTint="33"/>
          </w:tcPr>
          <w:p w:rsidR="00E76526" w:rsidRPr="00515194" w:rsidRDefault="00E76526" w:rsidP="00EE1D88">
            <w:pPr>
              <w:widowControl/>
              <w:jc w:val="center"/>
              <w:rPr>
                <w:rFonts w:asciiTheme="majorEastAsia" w:eastAsiaTheme="majorEastAsia" w:hAnsiTheme="majorEastAsia" w:cs="新細明體"/>
                <w:b/>
                <w:color w:val="000000"/>
                <w:kern w:val="0"/>
                <w:sz w:val="22"/>
              </w:rPr>
            </w:pPr>
            <w:r w:rsidRPr="00515194">
              <w:rPr>
                <w:rFonts w:asciiTheme="majorEastAsia" w:eastAsiaTheme="majorEastAsia" w:hAnsiTheme="majorEastAsia" w:hint="eastAsia"/>
                <w:b/>
                <w:sz w:val="28"/>
              </w:rPr>
              <w:t>土地總登記時，登記名義人之姓名或住址記載不全或不符者申請土地權利價金應附權屬證明文件簡表</w:t>
            </w:r>
          </w:p>
        </w:tc>
      </w:tr>
      <w:tr w:rsidR="00B93D24" w:rsidRPr="00515194" w:rsidTr="00515194">
        <w:trPr>
          <w:trHeight w:val="330"/>
        </w:trPr>
        <w:tc>
          <w:tcPr>
            <w:tcW w:w="2977"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B93D24" w:rsidRPr="00515194" w:rsidRDefault="00B93D24" w:rsidP="00EE1D88">
            <w:pPr>
              <w:widowControl/>
              <w:jc w:val="center"/>
              <w:rPr>
                <w:rFonts w:asciiTheme="majorEastAsia" w:eastAsiaTheme="majorEastAsia" w:hAnsiTheme="majorEastAsia" w:cs="新細明體"/>
                <w:color w:val="000000"/>
                <w:kern w:val="0"/>
                <w:sz w:val="22"/>
              </w:rPr>
            </w:pPr>
            <w:r w:rsidRPr="00515194">
              <w:rPr>
                <w:rFonts w:asciiTheme="majorEastAsia" w:eastAsiaTheme="majorEastAsia" w:hAnsiTheme="majorEastAsia" w:cs="新細明體" w:hint="eastAsia"/>
                <w:color w:val="000000"/>
                <w:kern w:val="0"/>
                <w:sz w:val="22"/>
              </w:rPr>
              <w:t>姓名或住址記載不全或不符之類型</w:t>
            </w:r>
          </w:p>
        </w:tc>
        <w:tc>
          <w:tcPr>
            <w:tcW w:w="12332" w:type="dxa"/>
            <w:gridSpan w:val="2"/>
            <w:tcBorders>
              <w:top w:val="single" w:sz="4" w:space="0" w:color="auto"/>
              <w:left w:val="nil"/>
              <w:bottom w:val="single" w:sz="4" w:space="0" w:color="auto"/>
              <w:right w:val="single" w:sz="8" w:space="0" w:color="000000"/>
            </w:tcBorders>
            <w:shd w:val="clear" w:color="auto" w:fill="FFF2CC" w:themeFill="accent4" w:themeFillTint="33"/>
            <w:hideMark/>
          </w:tcPr>
          <w:p w:rsidR="00B93D24" w:rsidRPr="00515194" w:rsidRDefault="00B93D24" w:rsidP="00EE1D88">
            <w:pPr>
              <w:widowControl/>
              <w:jc w:val="center"/>
              <w:rPr>
                <w:rFonts w:asciiTheme="majorEastAsia" w:eastAsiaTheme="majorEastAsia" w:hAnsiTheme="majorEastAsia" w:cs="新細明體"/>
                <w:color w:val="000000"/>
                <w:kern w:val="0"/>
                <w:sz w:val="22"/>
              </w:rPr>
            </w:pPr>
            <w:r w:rsidRPr="00515194">
              <w:rPr>
                <w:rFonts w:asciiTheme="majorEastAsia" w:eastAsiaTheme="majorEastAsia" w:hAnsiTheme="majorEastAsia" w:cs="新細明體" w:hint="eastAsia"/>
                <w:color w:val="000000"/>
                <w:kern w:val="0"/>
                <w:sz w:val="22"/>
              </w:rPr>
              <w:t>應附文件</w:t>
            </w:r>
          </w:p>
        </w:tc>
      </w:tr>
      <w:tr w:rsidR="00B93D24" w:rsidRPr="00515194" w:rsidTr="00515194">
        <w:trPr>
          <w:trHeight w:val="852"/>
        </w:trPr>
        <w:tc>
          <w:tcPr>
            <w:tcW w:w="2977" w:type="dxa"/>
            <w:vMerge/>
            <w:tcBorders>
              <w:top w:val="single" w:sz="4" w:space="0" w:color="auto"/>
              <w:left w:val="single" w:sz="8" w:space="0" w:color="auto"/>
              <w:bottom w:val="single" w:sz="4" w:space="0" w:color="000000"/>
              <w:right w:val="single" w:sz="4" w:space="0" w:color="auto"/>
            </w:tcBorders>
            <w:shd w:val="clear" w:color="auto" w:fill="FFF2CC" w:themeFill="accent4" w:themeFillTint="33"/>
            <w:vAlign w:val="center"/>
            <w:hideMark/>
          </w:tcPr>
          <w:p w:rsidR="00B93D24" w:rsidRPr="00515194" w:rsidRDefault="00B93D24" w:rsidP="00EE1D88">
            <w:pPr>
              <w:widowControl/>
              <w:jc w:val="center"/>
              <w:rPr>
                <w:rFonts w:asciiTheme="majorEastAsia" w:eastAsiaTheme="majorEastAsia" w:hAnsiTheme="majorEastAsia" w:cs="新細明體"/>
                <w:color w:val="000000"/>
                <w:kern w:val="0"/>
                <w:sz w:val="22"/>
              </w:rPr>
            </w:pPr>
          </w:p>
        </w:tc>
        <w:tc>
          <w:tcPr>
            <w:tcW w:w="7229" w:type="dxa"/>
            <w:tcBorders>
              <w:top w:val="nil"/>
              <w:left w:val="nil"/>
              <w:bottom w:val="single" w:sz="4" w:space="0" w:color="auto"/>
              <w:right w:val="single" w:sz="4" w:space="0" w:color="auto"/>
            </w:tcBorders>
            <w:shd w:val="clear" w:color="auto" w:fill="FFF2CC" w:themeFill="accent4" w:themeFillTint="33"/>
            <w:hideMark/>
          </w:tcPr>
          <w:p w:rsidR="00B93D24" w:rsidRPr="00515194" w:rsidRDefault="00B93D24" w:rsidP="00BA00DA">
            <w:pPr>
              <w:widowControl/>
              <w:jc w:val="center"/>
              <w:rPr>
                <w:rFonts w:asciiTheme="majorEastAsia" w:eastAsiaTheme="majorEastAsia" w:hAnsiTheme="majorEastAsia" w:cs="新細明體"/>
                <w:color w:val="000000"/>
                <w:kern w:val="0"/>
                <w:sz w:val="22"/>
              </w:rPr>
            </w:pPr>
            <w:r w:rsidRPr="00515194">
              <w:rPr>
                <w:rFonts w:asciiTheme="majorEastAsia" w:eastAsiaTheme="majorEastAsia" w:hAnsiTheme="majorEastAsia" w:cs="新細明體" w:hint="eastAsia"/>
                <w:color w:val="000000"/>
                <w:kern w:val="0"/>
                <w:sz w:val="22"/>
              </w:rPr>
              <w:t>應檢附或由戶政機關提供足資證明權屬之文件</w:t>
            </w:r>
          </w:p>
        </w:tc>
        <w:tc>
          <w:tcPr>
            <w:tcW w:w="5103" w:type="dxa"/>
            <w:tcBorders>
              <w:top w:val="nil"/>
              <w:left w:val="nil"/>
              <w:bottom w:val="single" w:sz="4" w:space="0" w:color="auto"/>
              <w:right w:val="single" w:sz="8" w:space="0" w:color="auto"/>
            </w:tcBorders>
            <w:shd w:val="clear" w:color="auto" w:fill="FFF2CC" w:themeFill="accent4" w:themeFillTint="33"/>
            <w:hideMark/>
          </w:tcPr>
          <w:p w:rsidR="00B93D24" w:rsidRPr="00515194" w:rsidRDefault="00127F36" w:rsidP="00127F36">
            <w:pPr>
              <w:widowControl/>
              <w:jc w:val="center"/>
              <w:rPr>
                <w:rFonts w:asciiTheme="majorEastAsia" w:eastAsiaTheme="majorEastAsia" w:hAnsiTheme="majorEastAsia" w:cs="新細明體"/>
                <w:sz w:val="22"/>
              </w:rPr>
            </w:pPr>
            <w:r w:rsidRPr="00127F36">
              <w:rPr>
                <w:rFonts w:asciiTheme="majorEastAsia" w:eastAsiaTheme="majorEastAsia" w:hAnsiTheme="majorEastAsia" w:cs="新細明體" w:hint="eastAsia"/>
                <w:color w:val="000000"/>
                <w:kern w:val="0"/>
                <w:sz w:val="22"/>
              </w:rPr>
              <w:t>未能檢附地籍清理條例施行細則第13條第1項第3款</w:t>
            </w:r>
            <w:r>
              <w:rPr>
                <w:rFonts w:asciiTheme="majorEastAsia" w:eastAsiaTheme="majorEastAsia" w:hAnsiTheme="majorEastAsia" w:cs="新細明體" w:hint="eastAsia"/>
                <w:color w:val="000000"/>
                <w:kern w:val="0"/>
                <w:sz w:val="22"/>
              </w:rPr>
              <w:t>規定</w:t>
            </w:r>
            <w:bookmarkStart w:id="0" w:name="_GoBack"/>
            <w:bookmarkEnd w:id="0"/>
            <w:r>
              <w:rPr>
                <w:rFonts w:asciiTheme="majorEastAsia" w:eastAsiaTheme="majorEastAsia" w:hAnsiTheme="majorEastAsia" w:cs="新細明體" w:hint="eastAsia"/>
                <w:color w:val="000000"/>
                <w:kern w:val="0"/>
                <w:sz w:val="22"/>
              </w:rPr>
              <w:t>之「</w:t>
            </w:r>
            <w:r w:rsidRPr="00127F36">
              <w:rPr>
                <w:rFonts w:asciiTheme="majorEastAsia" w:eastAsiaTheme="majorEastAsia" w:hAnsiTheme="majorEastAsia" w:cs="新細明體" w:hint="eastAsia"/>
                <w:color w:val="000000"/>
                <w:kern w:val="0"/>
                <w:sz w:val="22"/>
              </w:rPr>
              <w:t>權利書狀</w:t>
            </w:r>
            <w:r>
              <w:rPr>
                <w:rFonts w:asciiTheme="majorEastAsia" w:eastAsiaTheme="majorEastAsia" w:hAnsiTheme="majorEastAsia" w:cs="新細明體" w:hint="eastAsia"/>
                <w:color w:val="000000"/>
                <w:kern w:val="0"/>
                <w:sz w:val="22"/>
              </w:rPr>
              <w:t>」之處理方式</w:t>
            </w:r>
          </w:p>
        </w:tc>
      </w:tr>
      <w:tr w:rsidR="00B93D24" w:rsidRPr="00515194" w:rsidTr="00515194">
        <w:trPr>
          <w:trHeight w:val="495"/>
        </w:trPr>
        <w:tc>
          <w:tcPr>
            <w:tcW w:w="2977" w:type="dxa"/>
            <w:vMerge w:val="restart"/>
            <w:tcBorders>
              <w:top w:val="nil"/>
              <w:left w:val="single" w:sz="8" w:space="0" w:color="auto"/>
              <w:bottom w:val="single" w:sz="4" w:space="0" w:color="auto"/>
              <w:right w:val="single" w:sz="4" w:space="0" w:color="auto"/>
            </w:tcBorders>
            <w:shd w:val="clear" w:color="000000" w:fill="FFFFFF"/>
            <w:hideMark/>
          </w:tcPr>
          <w:p w:rsidR="00B93D24" w:rsidRPr="00515194" w:rsidRDefault="00B93D24" w:rsidP="001C25B3">
            <w:pPr>
              <w:pStyle w:val="a7"/>
              <w:widowControl/>
              <w:numPr>
                <w:ilvl w:val="0"/>
                <w:numId w:val="6"/>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土地總登記時原登記名義人姓名與戶籍謄本姓名相符，其「住址」有「不符」、「不全」或「無記載」之情事者</w:t>
            </w:r>
            <w:r w:rsidRPr="00515194">
              <w:rPr>
                <w:rFonts w:asciiTheme="minorEastAsia" w:hAnsiTheme="minorEastAsia" w:cs="新細明體"/>
                <w:color w:val="000000"/>
                <w:kern w:val="0"/>
                <w:sz w:val="20"/>
              </w:rPr>
              <w:br/>
            </w:r>
            <w:r w:rsidRPr="00515194">
              <w:rPr>
                <w:rFonts w:asciiTheme="minorEastAsia" w:hAnsiTheme="minorEastAsia" w:cs="新細明體" w:hint="eastAsia"/>
                <w:color w:val="000000"/>
                <w:kern w:val="0"/>
                <w:sz w:val="20"/>
              </w:rPr>
              <w:t>(地籍清理條例施行細則第27條第1項)</w:t>
            </w: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1C25B3">
            <w:pPr>
              <w:pStyle w:val="a7"/>
              <w:widowControl/>
              <w:numPr>
                <w:ilvl w:val="0"/>
                <w:numId w:val="3"/>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日據時期土地登記簿或土地臺帳所載原登記名義人之住址，與其日據時期戶籍謄本所載住址相符者。</w:t>
            </w:r>
            <w:r w:rsidRPr="00515194">
              <w:rPr>
                <w:rFonts w:asciiTheme="minorEastAsia" w:hAnsiTheme="minorEastAsia" w:cs="新細明體" w:hint="eastAsia"/>
                <w:color w:val="000000"/>
                <w:kern w:val="0"/>
                <w:sz w:val="20"/>
              </w:rPr>
              <w:br/>
              <w:t>(地籍清理條例施行細則第27條第1項第1款)</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B93D24" w:rsidRPr="00515194" w:rsidRDefault="00B93D24" w:rsidP="00F15500">
            <w:pPr>
              <w:widowControl/>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得由申請人檢附切結書，敘明其未能檢附之事由，註明如致真正權利人受損害，願負法律責任並簽名。(地籍清理條例施行細則第13第3項、27條第3項)</w:t>
            </w:r>
          </w:p>
        </w:tc>
      </w:tr>
      <w:tr w:rsidR="00B93D24" w:rsidRPr="00515194" w:rsidTr="00515194">
        <w:trPr>
          <w:trHeight w:val="825"/>
        </w:trPr>
        <w:tc>
          <w:tcPr>
            <w:tcW w:w="2977" w:type="dxa"/>
            <w:vMerge/>
            <w:tcBorders>
              <w:top w:val="nil"/>
              <w:left w:val="single" w:sz="8"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BA00DA">
            <w:pPr>
              <w:pStyle w:val="a7"/>
              <w:widowControl/>
              <w:numPr>
                <w:ilvl w:val="0"/>
                <w:numId w:val="8"/>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原登記名義人與其他共有人於日據時期取得數宗共有土地之時間、原因相同，其中某宗地號登記簿上未載明原登記名義人之住址，而其他共有土地之土地登記簿謄本載有其住址，且與戶籍謄本相符者。</w:t>
            </w:r>
            <w:r w:rsidRPr="00515194">
              <w:rPr>
                <w:rFonts w:asciiTheme="minorEastAsia" w:hAnsiTheme="minorEastAsia" w:cs="新細明體" w:hint="eastAsia"/>
                <w:color w:val="000000"/>
                <w:kern w:val="0"/>
                <w:sz w:val="20"/>
              </w:rPr>
              <w:br/>
              <w:t>(地籍清理條例施行細則第27條第1項第2款)</w:t>
            </w:r>
          </w:p>
        </w:tc>
        <w:tc>
          <w:tcPr>
            <w:tcW w:w="5103" w:type="dxa"/>
            <w:vMerge/>
            <w:tcBorders>
              <w:top w:val="nil"/>
              <w:left w:val="single" w:sz="4"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r>
      <w:tr w:rsidR="00B93D24" w:rsidRPr="00515194" w:rsidTr="00515194">
        <w:trPr>
          <w:trHeight w:val="660"/>
        </w:trPr>
        <w:tc>
          <w:tcPr>
            <w:tcW w:w="2977" w:type="dxa"/>
            <w:vMerge/>
            <w:tcBorders>
              <w:top w:val="nil"/>
              <w:left w:val="single" w:sz="8"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BA00DA">
            <w:pPr>
              <w:pStyle w:val="a7"/>
              <w:widowControl/>
              <w:numPr>
                <w:ilvl w:val="0"/>
                <w:numId w:val="8"/>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原登記名義人與其他共有人之一，依日據時期戶籍謄本所載有直系血親、配偶或三親等內旁系血親關係者。</w:t>
            </w:r>
            <w:r w:rsidRPr="00515194">
              <w:rPr>
                <w:rFonts w:asciiTheme="minorEastAsia" w:hAnsiTheme="minorEastAsia" w:cs="新細明體" w:hint="eastAsia"/>
                <w:color w:val="000000"/>
                <w:kern w:val="0"/>
                <w:sz w:val="20"/>
              </w:rPr>
              <w:br/>
              <w:t>(地籍清理條例施行細則第27條第1項第3款)</w:t>
            </w:r>
          </w:p>
        </w:tc>
        <w:tc>
          <w:tcPr>
            <w:tcW w:w="5103" w:type="dxa"/>
            <w:vMerge/>
            <w:tcBorders>
              <w:top w:val="nil"/>
              <w:left w:val="single" w:sz="4"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r>
      <w:tr w:rsidR="00B93D24" w:rsidRPr="00515194" w:rsidTr="00515194">
        <w:trPr>
          <w:trHeight w:val="660"/>
        </w:trPr>
        <w:tc>
          <w:tcPr>
            <w:tcW w:w="2977" w:type="dxa"/>
            <w:vMerge/>
            <w:tcBorders>
              <w:top w:val="nil"/>
              <w:left w:val="single" w:sz="8"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BA00DA">
            <w:pPr>
              <w:pStyle w:val="a7"/>
              <w:widowControl/>
              <w:numPr>
                <w:ilvl w:val="0"/>
                <w:numId w:val="8"/>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原登記名義人住址記載不全，而有原登記名義人日據時期之登記濟證、光復後首次核發之原權利書狀或共有人保持證者。</w:t>
            </w:r>
            <w:r w:rsidRPr="00515194">
              <w:rPr>
                <w:rFonts w:asciiTheme="minorEastAsia" w:hAnsiTheme="minorEastAsia" w:cs="新細明體" w:hint="eastAsia"/>
                <w:color w:val="000000"/>
                <w:kern w:val="0"/>
                <w:sz w:val="20"/>
              </w:rPr>
              <w:br/>
              <w:t>(地籍清理條例施行細則第27條第1項第4款)</w:t>
            </w:r>
          </w:p>
        </w:tc>
        <w:tc>
          <w:tcPr>
            <w:tcW w:w="5103" w:type="dxa"/>
            <w:vMerge w:val="restart"/>
            <w:tcBorders>
              <w:top w:val="nil"/>
              <w:left w:val="single" w:sz="4" w:space="0" w:color="auto"/>
              <w:bottom w:val="single" w:sz="8" w:space="0" w:color="000000"/>
              <w:right w:val="single" w:sz="4" w:space="0" w:color="auto"/>
            </w:tcBorders>
            <w:shd w:val="clear" w:color="auto" w:fill="auto"/>
            <w:hideMark/>
          </w:tcPr>
          <w:p w:rsidR="00B93D24" w:rsidRPr="00515194" w:rsidRDefault="00B93D24" w:rsidP="00515194">
            <w:pPr>
              <w:pStyle w:val="a7"/>
              <w:widowControl/>
              <w:numPr>
                <w:ilvl w:val="0"/>
                <w:numId w:val="1"/>
              </w:numPr>
              <w:pBdr>
                <w:top w:val="single" w:sz="4" w:space="1" w:color="auto"/>
                <w:left w:val="single" w:sz="4" w:space="4" w:color="auto"/>
                <w:right w:val="single" w:sz="4" w:space="4" w:color="auto"/>
              </w:pBd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應檢附土地所在地現任或歷任之村（里）長、土地共有人（含繼承人）、土地四鄰之土地、建物所有權人或其使用人一人之證明書，並於申請書備註欄內切結本申請案確無虛偽不實之情事，如有不實，申請人願負法律責任；出具證明書之證明人，應具完全之法律行為能力，證明書應載明其親自觀察之具體事實，而非其推斷之結果，並應檢附其印鑑證明書。但現任之村（里）長出具蓋有村（里）辦公處印信之證明書者，免檢附其印鑑證明書。(地籍清理條例施行細則第28條)</w:t>
            </w:r>
          </w:p>
          <w:p w:rsidR="00B93D24" w:rsidRPr="00515194" w:rsidRDefault="00B93D24" w:rsidP="00515194">
            <w:pPr>
              <w:pStyle w:val="a7"/>
              <w:widowControl/>
              <w:numPr>
                <w:ilvl w:val="0"/>
                <w:numId w:val="1"/>
              </w:numPr>
              <w:pBdr>
                <w:top w:val="single" w:sz="4" w:space="1" w:color="auto"/>
                <w:left w:val="single" w:sz="4" w:space="4" w:color="auto"/>
                <w:right w:val="single" w:sz="4" w:space="4" w:color="auto"/>
              </w:pBd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未能檢附上開地籍清理條例施行細則第28條之證明書者，申請人得檢附下列文件之一，所附文件直轄市或縣（市）主管機關無法審認時，應派員實地查</w:t>
            </w:r>
            <w:r w:rsidRPr="00515194">
              <w:rPr>
                <w:rFonts w:asciiTheme="minorEastAsia" w:hAnsiTheme="minorEastAsia" w:cs="新細明體" w:hint="eastAsia"/>
                <w:color w:val="000000"/>
                <w:kern w:val="0"/>
                <w:sz w:val="20"/>
              </w:rPr>
              <w:lastRenderedPageBreak/>
              <w:t>訪，並以申請人戶籍所在地或相關之鄉（鎮、市、區）為範圍，全面清查全鄉（鎮、市、區）與該登記名義人同名同姓之人並就戶籍資料，按土地權利取得時間，逐一就年齡、住所及地緣關係審查認定：</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土地課稅證明文件。</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地上房屋稅籍證明文件。</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鄉（鎮、市、區）公所耕地三七五租約登記資料。</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放領清冊或地價繳納（清）證明文件。</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土地四鄰、共有人或房屋使用人持有之相關文書。</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與登記名義人取得土地權利時相關申請案之登記情形或資料。</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與申請標示有關之訴訟或公文往來書件。</w:t>
            </w:r>
          </w:p>
          <w:p w:rsidR="00B93D24" w:rsidRPr="00515194" w:rsidRDefault="00B93D24" w:rsidP="00F15500">
            <w:pPr>
              <w:pStyle w:val="a7"/>
              <w:widowControl/>
              <w:numPr>
                <w:ilvl w:val="1"/>
                <w:numId w:val="1"/>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其他足資參考文件。(地籍清理條例施行細則第29條)</w:t>
            </w:r>
          </w:p>
        </w:tc>
      </w:tr>
      <w:tr w:rsidR="00B93D24" w:rsidRPr="00515194" w:rsidTr="00515194">
        <w:trPr>
          <w:trHeight w:val="990"/>
        </w:trPr>
        <w:tc>
          <w:tcPr>
            <w:tcW w:w="2977" w:type="dxa"/>
            <w:vMerge/>
            <w:tcBorders>
              <w:top w:val="nil"/>
              <w:left w:val="single" w:sz="8"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BA00DA">
            <w:pPr>
              <w:pStyle w:val="a7"/>
              <w:widowControl/>
              <w:numPr>
                <w:ilvl w:val="0"/>
                <w:numId w:val="8"/>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原登記名義人住址番地號碼與其戶籍謄本所載住址番地號碼不符時，經直轄市或縣（市）主管機關依戶政機關提供該鄉（鎮、市、區）與該登記名義人同姓名人之所有戶籍資料，審查無同名同姓之人於該土地登記之番地號碼設籍，且有原登記名義人日據時期之登記濟證、光復後首次核發之原權利書狀或共有人保持證者。</w:t>
            </w:r>
            <w:r w:rsidRPr="00515194">
              <w:rPr>
                <w:rFonts w:asciiTheme="minorEastAsia" w:hAnsiTheme="minorEastAsia" w:cs="新細明體" w:hint="eastAsia"/>
                <w:color w:val="000000"/>
                <w:kern w:val="0"/>
                <w:sz w:val="20"/>
              </w:rPr>
              <w:br/>
              <w:t>(地籍清理條例施行細則第27條第1項第5款)</w:t>
            </w:r>
          </w:p>
        </w:tc>
        <w:tc>
          <w:tcPr>
            <w:tcW w:w="5103" w:type="dxa"/>
            <w:vMerge/>
            <w:tcBorders>
              <w:top w:val="nil"/>
              <w:left w:val="single" w:sz="4" w:space="0" w:color="auto"/>
              <w:bottom w:val="single" w:sz="8" w:space="0" w:color="000000"/>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r>
      <w:tr w:rsidR="00B93D24" w:rsidRPr="00515194" w:rsidTr="00515194">
        <w:trPr>
          <w:trHeight w:val="1155"/>
        </w:trPr>
        <w:tc>
          <w:tcPr>
            <w:tcW w:w="2977" w:type="dxa"/>
            <w:vMerge/>
            <w:tcBorders>
              <w:top w:val="nil"/>
              <w:left w:val="single" w:sz="8" w:space="0" w:color="auto"/>
              <w:bottom w:val="single" w:sz="4" w:space="0" w:color="auto"/>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c>
          <w:tcPr>
            <w:tcW w:w="7229" w:type="dxa"/>
            <w:tcBorders>
              <w:top w:val="nil"/>
              <w:left w:val="nil"/>
              <w:bottom w:val="single" w:sz="4" w:space="0" w:color="auto"/>
              <w:right w:val="single" w:sz="4" w:space="0" w:color="auto"/>
            </w:tcBorders>
            <w:shd w:val="clear" w:color="000000" w:fill="FFFFFF"/>
            <w:hideMark/>
          </w:tcPr>
          <w:p w:rsidR="00B93D24" w:rsidRPr="00515194" w:rsidRDefault="00B93D24" w:rsidP="00BA00DA">
            <w:pPr>
              <w:pStyle w:val="a7"/>
              <w:widowControl/>
              <w:numPr>
                <w:ilvl w:val="0"/>
                <w:numId w:val="8"/>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土地登記簿未載明原登記名義人住址，其日據時期戶籍謄本所載住址之番地號碼與已標售土地之日據時期之地號相符時，經直轄市或縣（市）主管機關依戶政機關提供該鄉（鎮、市、區）與該登記名義人同姓名人之所有戶籍資料，審查無同名同姓之人於該土地登記之番地號碼設籍，且有原登記名義人</w:t>
            </w:r>
            <w:r w:rsidRPr="00515194">
              <w:rPr>
                <w:rFonts w:asciiTheme="minorEastAsia" w:hAnsiTheme="minorEastAsia" w:cs="新細明體" w:hint="eastAsia"/>
                <w:color w:val="000000"/>
                <w:kern w:val="0"/>
                <w:sz w:val="20"/>
              </w:rPr>
              <w:lastRenderedPageBreak/>
              <w:t>日據時期之登記濟證、光復後首次核發之原權利書狀或共有人保持證者。</w:t>
            </w:r>
            <w:r w:rsidRPr="00515194">
              <w:rPr>
                <w:rFonts w:asciiTheme="minorEastAsia" w:hAnsiTheme="minorEastAsia" w:cs="新細明體" w:hint="eastAsia"/>
                <w:color w:val="000000"/>
                <w:kern w:val="0"/>
                <w:sz w:val="20"/>
              </w:rPr>
              <w:br/>
              <w:t>(地籍清理條例施行細則第27條第1項第6款)</w:t>
            </w:r>
          </w:p>
        </w:tc>
        <w:tc>
          <w:tcPr>
            <w:tcW w:w="5103" w:type="dxa"/>
            <w:vMerge/>
            <w:tcBorders>
              <w:top w:val="nil"/>
              <w:left w:val="single" w:sz="4" w:space="0" w:color="auto"/>
              <w:bottom w:val="single" w:sz="8" w:space="0" w:color="000000"/>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r>
      <w:tr w:rsidR="00B93D24" w:rsidRPr="00515194" w:rsidTr="00515194">
        <w:trPr>
          <w:trHeight w:val="1005"/>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B93D24" w:rsidRPr="00515194" w:rsidRDefault="00B93D24" w:rsidP="001C25B3">
            <w:pPr>
              <w:pStyle w:val="a7"/>
              <w:widowControl/>
              <w:numPr>
                <w:ilvl w:val="0"/>
                <w:numId w:val="6"/>
              </w:numPr>
              <w:ind w:leftChars="0"/>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原登記名義人之住址，依日據時期土地登記簿所載，與權利人檢附之日據時期戶籍資料所載住址相符，「姓名」有「同音異字」或「筆劃錯誤」，或認定與土地登記簿所載為同一自然人有疑義者</w:t>
            </w:r>
            <w:r w:rsidRPr="00515194">
              <w:rPr>
                <w:rFonts w:asciiTheme="minorEastAsia" w:hAnsiTheme="minorEastAsia" w:cs="新細明體" w:hint="eastAsia"/>
                <w:color w:val="000000"/>
                <w:kern w:val="0"/>
                <w:sz w:val="20"/>
              </w:rPr>
              <w:br/>
              <w:t>(地籍清理條例施行細則第27條第2項)</w:t>
            </w:r>
          </w:p>
        </w:tc>
        <w:tc>
          <w:tcPr>
            <w:tcW w:w="7229" w:type="dxa"/>
            <w:tcBorders>
              <w:top w:val="single" w:sz="4" w:space="0" w:color="auto"/>
              <w:left w:val="nil"/>
              <w:bottom w:val="single" w:sz="4" w:space="0" w:color="auto"/>
              <w:right w:val="single" w:sz="4" w:space="0" w:color="auto"/>
            </w:tcBorders>
            <w:shd w:val="clear" w:color="000000" w:fill="FFFFFF"/>
            <w:hideMark/>
          </w:tcPr>
          <w:p w:rsidR="00B93D24" w:rsidRPr="00515194" w:rsidRDefault="00B93D24" w:rsidP="00BA00DA">
            <w:pPr>
              <w:widowControl/>
              <w:rPr>
                <w:rFonts w:asciiTheme="minorEastAsia" w:hAnsiTheme="minorEastAsia" w:cs="新細明體"/>
                <w:color w:val="000000"/>
                <w:kern w:val="0"/>
                <w:sz w:val="20"/>
              </w:rPr>
            </w:pPr>
            <w:r w:rsidRPr="00515194">
              <w:rPr>
                <w:rFonts w:asciiTheme="minorEastAsia" w:hAnsiTheme="minorEastAsia" w:cs="新細明體" w:hint="eastAsia"/>
                <w:color w:val="000000"/>
                <w:kern w:val="0"/>
                <w:sz w:val="20"/>
              </w:rPr>
              <w:t>除應檢附原登記名義人日據時期之登記濟證或光復後首次核發之原權利書狀或共有人保持證外，並經直轄市或縣（市）主管機關依戶政機關提供該鄉（鎮、市、區）與該登記名義人同姓名人之所有戶籍資料，審查無同名同姓之人於該土地登記之番地號碼設籍。(地籍清理條例施行細則第27條第2項)</w:t>
            </w:r>
          </w:p>
        </w:tc>
        <w:tc>
          <w:tcPr>
            <w:tcW w:w="5103" w:type="dxa"/>
            <w:vMerge/>
            <w:tcBorders>
              <w:top w:val="nil"/>
              <w:left w:val="single" w:sz="4" w:space="0" w:color="auto"/>
              <w:bottom w:val="single" w:sz="8" w:space="0" w:color="000000"/>
              <w:right w:val="single" w:sz="4" w:space="0" w:color="auto"/>
            </w:tcBorders>
            <w:vAlign w:val="center"/>
            <w:hideMark/>
          </w:tcPr>
          <w:p w:rsidR="00B93D24" w:rsidRPr="00515194" w:rsidRDefault="00B93D24" w:rsidP="00F15500">
            <w:pPr>
              <w:widowControl/>
              <w:rPr>
                <w:rFonts w:asciiTheme="minorEastAsia" w:hAnsiTheme="minorEastAsia" w:cs="新細明體"/>
                <w:color w:val="000000"/>
                <w:kern w:val="0"/>
                <w:sz w:val="20"/>
              </w:rPr>
            </w:pPr>
          </w:p>
        </w:tc>
      </w:tr>
    </w:tbl>
    <w:p w:rsidR="00414CCB" w:rsidRPr="00515194" w:rsidRDefault="00BA15E8" w:rsidP="00F15500">
      <w:pPr>
        <w:ind w:leftChars="177" w:left="425"/>
        <w:rPr>
          <w:rFonts w:asciiTheme="minorEastAsia" w:hAnsiTheme="minorEastAsia"/>
          <w:sz w:val="20"/>
        </w:rPr>
      </w:pPr>
    </w:p>
    <w:sectPr w:rsidR="00414CCB" w:rsidRPr="00515194" w:rsidSect="00515194">
      <w:pgSz w:w="16838" w:h="11906" w:orient="landscape"/>
      <w:pgMar w:top="567" w:right="851"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E8" w:rsidRDefault="00BA15E8" w:rsidP="00F15500">
      <w:r>
        <w:separator/>
      </w:r>
    </w:p>
  </w:endnote>
  <w:endnote w:type="continuationSeparator" w:id="0">
    <w:p w:rsidR="00BA15E8" w:rsidRDefault="00BA15E8" w:rsidP="00F1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E8" w:rsidRDefault="00BA15E8" w:rsidP="00F15500">
      <w:r>
        <w:separator/>
      </w:r>
    </w:p>
  </w:footnote>
  <w:footnote w:type="continuationSeparator" w:id="0">
    <w:p w:rsidR="00BA15E8" w:rsidRDefault="00BA15E8" w:rsidP="00F1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0B3"/>
    <w:multiLevelType w:val="hybridMultilevel"/>
    <w:tmpl w:val="F4A8885C"/>
    <w:lvl w:ilvl="0" w:tplc="A39E70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E3122E"/>
    <w:multiLevelType w:val="hybridMultilevel"/>
    <w:tmpl w:val="402431C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111C15"/>
    <w:multiLevelType w:val="hybridMultilevel"/>
    <w:tmpl w:val="73D07D1E"/>
    <w:lvl w:ilvl="0" w:tplc="04090015">
      <w:start w:val="1"/>
      <w:numFmt w:val="taiwaneseCountingThousand"/>
      <w:lvlText w:val="%1、"/>
      <w:lvlJc w:val="left"/>
      <w:pPr>
        <w:ind w:left="480" w:hanging="480"/>
      </w:pPr>
    </w:lvl>
    <w:lvl w:ilvl="1" w:tplc="A39E70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D14F59"/>
    <w:multiLevelType w:val="hybridMultilevel"/>
    <w:tmpl w:val="7D849772"/>
    <w:lvl w:ilvl="0" w:tplc="FB24220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653F5F"/>
    <w:multiLevelType w:val="hybridMultilevel"/>
    <w:tmpl w:val="FB2EC284"/>
    <w:lvl w:ilvl="0" w:tplc="A39E70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9D0575"/>
    <w:multiLevelType w:val="hybridMultilevel"/>
    <w:tmpl w:val="ABF684E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516531"/>
    <w:multiLevelType w:val="hybridMultilevel"/>
    <w:tmpl w:val="8A0431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C2383B"/>
    <w:multiLevelType w:val="hybridMultilevel"/>
    <w:tmpl w:val="12EC66C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E3"/>
    <w:rsid w:val="00042BF4"/>
    <w:rsid w:val="00077109"/>
    <w:rsid w:val="000A60F6"/>
    <w:rsid w:val="00127F36"/>
    <w:rsid w:val="001C25B3"/>
    <w:rsid w:val="001E04A2"/>
    <w:rsid w:val="00515194"/>
    <w:rsid w:val="00575052"/>
    <w:rsid w:val="005768DD"/>
    <w:rsid w:val="00664FE3"/>
    <w:rsid w:val="00751950"/>
    <w:rsid w:val="007763ED"/>
    <w:rsid w:val="00A22A6B"/>
    <w:rsid w:val="00AC4969"/>
    <w:rsid w:val="00B93D24"/>
    <w:rsid w:val="00BA00DA"/>
    <w:rsid w:val="00BA15E8"/>
    <w:rsid w:val="00E76526"/>
    <w:rsid w:val="00EC4F92"/>
    <w:rsid w:val="00EE1D88"/>
    <w:rsid w:val="00EF6663"/>
    <w:rsid w:val="00F15500"/>
    <w:rsid w:val="00F92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8932"/>
  <w15:chartTrackingRefBased/>
  <w15:docId w15:val="{7D8D8E34-8C7C-47D5-9225-941CF711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500"/>
    <w:pPr>
      <w:tabs>
        <w:tab w:val="center" w:pos="4153"/>
        <w:tab w:val="right" w:pos="8306"/>
      </w:tabs>
      <w:snapToGrid w:val="0"/>
    </w:pPr>
    <w:rPr>
      <w:sz w:val="20"/>
      <w:szCs w:val="20"/>
    </w:rPr>
  </w:style>
  <w:style w:type="character" w:customStyle="1" w:styleId="a4">
    <w:name w:val="頁首 字元"/>
    <w:basedOn w:val="a0"/>
    <w:link w:val="a3"/>
    <w:uiPriority w:val="99"/>
    <w:rsid w:val="00F15500"/>
    <w:rPr>
      <w:sz w:val="20"/>
      <w:szCs w:val="20"/>
    </w:rPr>
  </w:style>
  <w:style w:type="paragraph" w:styleId="a5">
    <w:name w:val="footer"/>
    <w:basedOn w:val="a"/>
    <w:link w:val="a6"/>
    <w:uiPriority w:val="99"/>
    <w:unhideWhenUsed/>
    <w:rsid w:val="00F15500"/>
    <w:pPr>
      <w:tabs>
        <w:tab w:val="center" w:pos="4153"/>
        <w:tab w:val="right" w:pos="8306"/>
      </w:tabs>
      <w:snapToGrid w:val="0"/>
    </w:pPr>
    <w:rPr>
      <w:sz w:val="20"/>
      <w:szCs w:val="20"/>
    </w:rPr>
  </w:style>
  <w:style w:type="character" w:customStyle="1" w:styleId="a6">
    <w:name w:val="頁尾 字元"/>
    <w:basedOn w:val="a0"/>
    <w:link w:val="a5"/>
    <w:uiPriority w:val="99"/>
    <w:rsid w:val="00F15500"/>
    <w:rPr>
      <w:sz w:val="20"/>
      <w:szCs w:val="20"/>
    </w:rPr>
  </w:style>
  <w:style w:type="paragraph" w:styleId="a7">
    <w:name w:val="List Paragraph"/>
    <w:basedOn w:val="a"/>
    <w:uiPriority w:val="34"/>
    <w:qFormat/>
    <w:rsid w:val="00F15500"/>
    <w:pPr>
      <w:ind w:leftChars="200" w:left="480"/>
    </w:pPr>
  </w:style>
  <w:style w:type="paragraph" w:styleId="a8">
    <w:name w:val="Balloon Text"/>
    <w:basedOn w:val="a"/>
    <w:link w:val="a9"/>
    <w:uiPriority w:val="99"/>
    <w:semiHidden/>
    <w:unhideWhenUsed/>
    <w:rsid w:val="005768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6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76150">
      <w:bodyDiv w:val="1"/>
      <w:marLeft w:val="0"/>
      <w:marRight w:val="0"/>
      <w:marTop w:val="0"/>
      <w:marBottom w:val="0"/>
      <w:divBdr>
        <w:top w:val="none" w:sz="0" w:space="0" w:color="auto"/>
        <w:left w:val="none" w:sz="0" w:space="0" w:color="auto"/>
        <w:bottom w:val="none" w:sz="0" w:space="0" w:color="auto"/>
        <w:right w:val="none" w:sz="0" w:space="0" w:color="auto"/>
      </w:divBdr>
    </w:div>
    <w:div w:id="19670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賴承毅</dc:creator>
  <cp:keywords/>
  <dc:description/>
  <cp:lastModifiedBy>賴承毅</cp:lastModifiedBy>
  <cp:revision>12</cp:revision>
  <cp:lastPrinted>2020-06-29T09:35:00Z</cp:lastPrinted>
  <dcterms:created xsi:type="dcterms:W3CDTF">2020-06-27T13:40:00Z</dcterms:created>
  <dcterms:modified xsi:type="dcterms:W3CDTF">2020-06-30T07:43:00Z</dcterms:modified>
</cp:coreProperties>
</file>